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2D" w:rsidRPr="007B092D" w:rsidRDefault="007B092D" w:rsidP="007B092D">
      <w:pPr>
        <w:tabs>
          <w:tab w:val="left" w:pos="2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92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 изменений в применении специальных режимов налогообложения в 2021 году</w:t>
      </w:r>
    </w:p>
    <w:tbl>
      <w:tblPr>
        <w:tblStyle w:val="TableNormal"/>
        <w:tblW w:w="11199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7199"/>
        <w:gridCol w:w="2126"/>
      </w:tblGrid>
      <w:tr w:rsidR="007B092D" w:rsidRPr="007B092D" w:rsidTr="00C82901">
        <w:trPr>
          <w:trHeight w:val="262"/>
        </w:trPr>
        <w:tc>
          <w:tcPr>
            <w:tcW w:w="1874" w:type="dxa"/>
          </w:tcPr>
          <w:p w:rsidR="007B092D" w:rsidRPr="007B092D" w:rsidRDefault="007B092D" w:rsidP="007B092D">
            <w:pPr>
              <w:ind w:left="95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Изменения</w:t>
            </w:r>
          </w:p>
        </w:tc>
        <w:tc>
          <w:tcPr>
            <w:tcW w:w="7199" w:type="dxa"/>
          </w:tcPr>
          <w:p w:rsidR="007B092D" w:rsidRPr="007B092D" w:rsidRDefault="007B092D" w:rsidP="007B092D">
            <w:pPr>
              <w:ind w:left="95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Содержание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Основание</w:t>
            </w:r>
          </w:p>
        </w:tc>
      </w:tr>
      <w:tr w:rsidR="007B092D" w:rsidRPr="007B092D" w:rsidTr="00C82901">
        <w:trPr>
          <w:trHeight w:val="262"/>
        </w:trPr>
        <w:tc>
          <w:tcPr>
            <w:tcW w:w="11199" w:type="dxa"/>
            <w:gridSpan w:val="3"/>
          </w:tcPr>
          <w:p w:rsidR="007B092D" w:rsidRPr="007B092D" w:rsidRDefault="007B092D" w:rsidP="007B092D">
            <w:pPr>
              <w:ind w:left="9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092D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7B092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прощенная система н/о</w:t>
            </w:r>
          </w:p>
        </w:tc>
      </w:tr>
      <w:tr w:rsidR="007B092D" w:rsidRPr="007B092D" w:rsidTr="00C82901">
        <w:trPr>
          <w:trHeight w:val="575"/>
        </w:trPr>
        <w:tc>
          <w:tcPr>
            <w:tcW w:w="1874" w:type="dxa"/>
          </w:tcPr>
          <w:p w:rsidR="007B092D" w:rsidRPr="007B092D" w:rsidRDefault="007B092D" w:rsidP="007B092D">
            <w:pPr>
              <w:ind w:left="95" w:righ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Срок уведомления о переходе на УСН </w:t>
            </w:r>
          </w:p>
        </w:tc>
        <w:tc>
          <w:tcPr>
            <w:tcW w:w="7199" w:type="dxa"/>
          </w:tcPr>
          <w:p w:rsidR="007B092D" w:rsidRPr="007B092D" w:rsidRDefault="007B092D" w:rsidP="007B092D">
            <w:pPr>
              <w:tabs>
                <w:tab w:val="left" w:pos="5528"/>
              </w:tabs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До 1 февраля 2021 года можно подать уведомление о переходе на УСН в связи с отменой ЕНВД.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 w:right="142"/>
              <w:rPr>
                <w:rFonts w:ascii="Times New Roman" w:hAnsi="Times New Roman"/>
                <w:color w:val="1154CC"/>
                <w:spacing w:val="-121"/>
                <w:sz w:val="18"/>
                <w:szCs w:val="18"/>
                <w:u w:val="single" w:color="1154CC"/>
                <w:lang w:val="ru-RU"/>
              </w:rPr>
            </w:pPr>
            <w:hyperlink r:id="rId5" w:anchor="/document/400198646/paragraph/1/doclist/28081/showentries/0/highlight/14.01.2021 фнс:9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Письмо ФНС от 14.01.2021 № СД-4-3/119@</w:t>
              </w:r>
            </w:hyperlink>
          </w:p>
        </w:tc>
      </w:tr>
      <w:tr w:rsidR="007B092D" w:rsidRPr="007B092D" w:rsidTr="00C82901">
        <w:trPr>
          <w:trHeight w:val="3147"/>
        </w:trPr>
        <w:tc>
          <w:tcPr>
            <w:tcW w:w="1874" w:type="dxa"/>
          </w:tcPr>
          <w:p w:rsidR="007B092D" w:rsidRPr="007B092D" w:rsidRDefault="007B092D" w:rsidP="007B092D">
            <w:pPr>
              <w:ind w:left="95" w:righ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Новые лимиты доходов и численности </w:t>
            </w:r>
          </w:p>
        </w:tc>
        <w:tc>
          <w:tcPr>
            <w:tcW w:w="7199" w:type="dxa"/>
          </w:tcPr>
          <w:p w:rsidR="007B092D" w:rsidRPr="007B092D" w:rsidRDefault="007B092D" w:rsidP="007B092D">
            <w:pPr>
              <w:tabs>
                <w:tab w:val="left" w:pos="5528"/>
              </w:tabs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С 1 января 2021 года предприниматели могут превысить базовые лимиты на УСН, но с повышенными ставками налога:</w:t>
            </w:r>
          </w:p>
          <w:tbl>
            <w:tblPr>
              <w:tblW w:w="6946" w:type="dxa"/>
              <w:tblInd w:w="1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544"/>
              <w:gridCol w:w="3402"/>
            </w:tblGrid>
            <w:tr w:rsidR="007B092D" w:rsidRPr="007B092D" w:rsidTr="00C82901">
              <w:trPr>
                <w:trHeight w:val="189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57" w:type="dxa"/>
                    <w:left w:w="35" w:type="dxa"/>
                    <w:bottom w:w="57" w:type="dxa"/>
                    <w:right w:w="35" w:type="dxa"/>
                  </w:tcMar>
                  <w:hideMark/>
                </w:tcPr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 w:right="851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Лимиты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57" w:type="dxa"/>
                    <w:left w:w="35" w:type="dxa"/>
                    <w:bottom w:w="57" w:type="dxa"/>
                    <w:right w:w="35" w:type="dxa"/>
                  </w:tcMar>
                  <w:hideMark/>
                </w:tcPr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 w:right="39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Применение УСН </w:t>
                  </w:r>
                </w:p>
              </w:tc>
            </w:tr>
            <w:tr w:rsidR="007B092D" w:rsidRPr="007B092D" w:rsidTr="00C82901">
              <w:trPr>
                <w:trHeight w:val="744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57" w:type="dxa"/>
                    <w:left w:w="35" w:type="dxa"/>
                    <w:bottom w:w="57" w:type="dxa"/>
                    <w:right w:w="35" w:type="dxa"/>
                  </w:tcMar>
                  <w:hideMark/>
                </w:tcPr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Базовые лимиты:</w:t>
                  </w:r>
                </w:p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не более 150 млн руб.;</w:t>
                  </w:r>
                </w:p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не более 100 работников.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57" w:type="dxa"/>
                    <w:left w:w="35" w:type="dxa"/>
                    <w:bottom w:w="57" w:type="dxa"/>
                    <w:right w:w="35" w:type="dxa"/>
                  </w:tcMar>
                  <w:hideMark/>
                </w:tcPr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УСН с базовыми ставками:</w:t>
                  </w:r>
                </w:p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6% – для объекта н/о «доходы»;</w:t>
                  </w:r>
                </w:p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15% – для объекта н/о «доходы-расходы».</w:t>
                  </w:r>
                </w:p>
              </w:tc>
            </w:tr>
            <w:tr w:rsidR="007B092D" w:rsidRPr="007B092D" w:rsidTr="00C82901">
              <w:trPr>
                <w:trHeight w:val="65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57" w:type="dxa"/>
                    <w:left w:w="35" w:type="dxa"/>
                    <w:bottom w:w="57" w:type="dxa"/>
                    <w:right w:w="35" w:type="dxa"/>
                  </w:tcMar>
                  <w:hideMark/>
                </w:tcPr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При незначительном превышении лимитов:</w:t>
                  </w:r>
                </w:p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от 150 млн до 200 млн руб.; </w:t>
                  </w:r>
                </w:p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от 100 до 130 работников.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57" w:type="dxa"/>
                    <w:left w:w="35" w:type="dxa"/>
                    <w:bottom w:w="57" w:type="dxa"/>
                    <w:right w:w="35" w:type="dxa"/>
                  </w:tcMar>
                  <w:hideMark/>
                </w:tcPr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УСН с повышенными ставками:</w:t>
                  </w:r>
                </w:p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8% – для объекта «доходы»;</w:t>
                  </w:r>
                </w:p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20% – для объекта «доходы-расходы».</w:t>
                  </w:r>
                </w:p>
              </w:tc>
            </w:tr>
            <w:tr w:rsidR="007B092D" w:rsidRPr="007B092D" w:rsidTr="00C82901">
              <w:trPr>
                <w:trHeight w:val="635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57" w:type="dxa"/>
                    <w:left w:w="35" w:type="dxa"/>
                    <w:bottom w:w="57" w:type="dxa"/>
                    <w:right w:w="35" w:type="dxa"/>
                  </w:tcMar>
                  <w:hideMark/>
                </w:tcPr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Существенное превышение лимитов:</w:t>
                  </w:r>
                </w:p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более 200 млн руб.;</w:t>
                  </w:r>
                </w:p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более 130 работников.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57" w:type="dxa"/>
                    <w:left w:w="35" w:type="dxa"/>
                    <w:bottom w:w="57" w:type="dxa"/>
                    <w:right w:w="35" w:type="dxa"/>
                  </w:tcMar>
                  <w:hideMark/>
                </w:tcPr>
                <w:p w:rsidR="007B092D" w:rsidRPr="007B092D" w:rsidRDefault="007B092D" w:rsidP="007B092D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9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B092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Утрата права применять УСН, переход на другие режимы н/о.</w:t>
                  </w:r>
                </w:p>
              </w:tc>
            </w:tr>
          </w:tbl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Повышенные ставки будут применяться к налоговой базе за весь год только в том случае, если доходы или численность работников превысили пределы уже в первом квартале. Иначе к базе, рассчитанной за отчетный период до квартала, в котором допущено превышение, нужно будет применять обычные ставки. 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Повышенные ставки станут применять к разнице между базой, определенной за отчетный/налоговый период, и базой, которая рассчитана за период, предшествующий кварталу, когда допущено превышение. 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Например, если превышение произошло в 4 квартале, то формула для расчета УСН-налога при объекте н/о «доходы» будет выглядеть так: б</w:t>
            </w:r>
            <w:r w:rsidRPr="007B092D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аза за 9 месяцев * 6% + (база за год – база за 9 месяцев) * 8%</w:t>
            </w:r>
            <w:r w:rsidRPr="007B092D"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 w:right="142"/>
              <w:rPr>
                <w:rFonts w:ascii="Arial" w:hAnsi="Arial" w:cs="Arial"/>
                <w:lang w:val="ru-RU"/>
              </w:rPr>
            </w:pPr>
            <w:proofErr w:type="spellStart"/>
            <w:r w:rsidRPr="007B092D">
              <w:rPr>
                <w:rFonts w:ascii="Times New Roman" w:hAnsi="Times New Roman"/>
                <w:color w:val="1154CC"/>
                <w:spacing w:val="-121"/>
                <w:sz w:val="18"/>
                <w:szCs w:val="18"/>
                <w:u w:val="single" w:color="1154CC"/>
                <w:lang w:val="ru-RU"/>
              </w:rPr>
              <w:t>З</w:t>
            </w:r>
            <w:hyperlink r:id="rId6"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>Закон</w:t>
              </w:r>
              <w:proofErr w:type="spellEnd"/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 xml:space="preserve"> от 31.07.2020 </w:t>
              </w:r>
              <w:r w:rsidRPr="007B092D">
                <w:rPr>
                  <w:rFonts w:ascii="Times New Roman" w:hAnsi="Times New Roman"/>
                  <w:color w:val="1154CC"/>
                  <w:spacing w:val="4"/>
                  <w:sz w:val="18"/>
                  <w:szCs w:val="18"/>
                  <w:u w:val="single" w:color="1154CC"/>
                  <w:lang w:val="ru-RU"/>
                </w:rPr>
                <w:t>№</w:t>
              </w:r>
            </w:hyperlink>
            <w:hyperlink r:id="rId7"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>266-ФЗ</w:t>
              </w:r>
            </w:hyperlink>
          </w:p>
          <w:p w:rsidR="007B092D" w:rsidRPr="007B092D" w:rsidRDefault="007B092D" w:rsidP="007B092D">
            <w:pPr>
              <w:ind w:left="95" w:righ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(внес изменения в гл. 26.2 НК РФ)</w:t>
            </w:r>
          </w:p>
        </w:tc>
      </w:tr>
      <w:tr w:rsidR="007B092D" w:rsidRPr="007B092D" w:rsidTr="00C82901">
        <w:trPr>
          <w:trHeight w:val="895"/>
        </w:trPr>
        <w:tc>
          <w:tcPr>
            <w:tcW w:w="1874" w:type="dxa"/>
          </w:tcPr>
          <w:p w:rsidR="007B092D" w:rsidRPr="007B092D" w:rsidRDefault="007B092D" w:rsidP="007B092D">
            <w:pPr>
              <w:ind w:left="9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Коэффициент-дефлятор</w:t>
            </w:r>
          </w:p>
        </w:tc>
        <w:tc>
          <w:tcPr>
            <w:tcW w:w="7199" w:type="dxa"/>
          </w:tcPr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Коэффициент-дефлятор для индексации лимита по УСН-доходам равен 1,032. То есть на УСН в 2021 году предельный доход составляет:</w:t>
            </w:r>
          </w:p>
          <w:p w:rsidR="007B092D" w:rsidRPr="007B092D" w:rsidRDefault="007B092D" w:rsidP="007B092D">
            <w:pPr>
              <w:numPr>
                <w:ilvl w:val="0"/>
                <w:numId w:val="4"/>
              </w:numPr>
              <w:ind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для применения традиционных ставок –154,8 млн руб., </w:t>
            </w:r>
          </w:p>
          <w:p w:rsidR="007B092D" w:rsidRPr="007B092D" w:rsidRDefault="007B092D" w:rsidP="007B092D">
            <w:pPr>
              <w:numPr>
                <w:ilvl w:val="0"/>
                <w:numId w:val="4"/>
              </w:numPr>
              <w:ind w:right="141" w:firstLine="30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для потери права на применение УСН – 206,4 млн руб., </w:t>
            </w:r>
          </w:p>
          <w:p w:rsidR="007B092D" w:rsidRPr="007B092D" w:rsidRDefault="007B092D" w:rsidP="007B092D">
            <w:pPr>
              <w:numPr>
                <w:ilvl w:val="0"/>
                <w:numId w:val="4"/>
              </w:numPr>
              <w:ind w:right="141" w:firstLine="30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для перехода на УСН с 2022 года – 116,1 млн руб.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 w:righ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u w:color="0000CC"/>
                <w:lang w:val="ru-RU"/>
              </w:rPr>
              <w:t>Приказ Минэкономразвития России от</w:t>
            </w:r>
            <w:r w:rsidRPr="007B092D">
              <w:rPr>
                <w:rFonts w:ascii="Times New Roman" w:hAnsi="Times New Roman"/>
                <w:color w:val="1154CC"/>
                <w:sz w:val="18"/>
                <w:szCs w:val="18"/>
                <w:lang w:val="ru-RU"/>
              </w:rPr>
              <w:t xml:space="preserve"> </w:t>
            </w:r>
            <w:hyperlink r:id="rId8"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>30.10.2020 №</w:t>
              </w:r>
              <w:r w:rsidRPr="007B092D">
                <w:rPr>
                  <w:rFonts w:ascii="Times New Roman" w:hAnsi="Times New Roman"/>
                  <w:color w:val="1154CC"/>
                  <w:spacing w:val="-1"/>
                  <w:sz w:val="18"/>
                  <w:szCs w:val="18"/>
                  <w:u w:val="single" w:color="1154CC"/>
                  <w:lang w:val="ru-RU"/>
                </w:rPr>
                <w:t xml:space="preserve"> </w:t>
              </w:r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>720</w:t>
              </w:r>
            </w:hyperlink>
          </w:p>
        </w:tc>
      </w:tr>
      <w:tr w:rsidR="007B092D" w:rsidRPr="007B092D" w:rsidTr="00C82901">
        <w:trPr>
          <w:trHeight w:val="406"/>
        </w:trPr>
        <w:tc>
          <w:tcPr>
            <w:tcW w:w="1874" w:type="dxa"/>
          </w:tcPr>
          <w:p w:rsidR="007B092D" w:rsidRPr="007B092D" w:rsidRDefault="007B092D" w:rsidP="007B092D">
            <w:pPr>
              <w:ind w:left="95" w:right="2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Льготные ставки</w:t>
            </w:r>
          </w:p>
        </w:tc>
        <w:tc>
          <w:tcPr>
            <w:tcW w:w="7199" w:type="dxa"/>
          </w:tcPr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Субъекты РФ самостоятельно устанавливают льготные ставки для определенных видов деятельности на УСН. Для этого необходимо смотреть региональные законы.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Так, в Ивановской области дополнительно с 1 января на весь 2021 год установлена льготная ставка 5% для предпринимателей, перешедших на УСН «доходы-расходы» и соответствующих следующим признакам: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1) видами их основной деятельности являются:</w:t>
            </w:r>
          </w:p>
          <w:p w:rsidR="007B092D" w:rsidRPr="007B092D" w:rsidRDefault="007B092D" w:rsidP="007B092D">
            <w:pPr>
              <w:numPr>
                <w:ilvl w:val="0"/>
                <w:numId w:val="6"/>
              </w:numPr>
              <w:ind w:right="14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розничная торговля, осуществляемая через объекты стационарной торговой сети, имеющие торговые залы,</w:t>
            </w:r>
          </w:p>
          <w:p w:rsidR="007B092D" w:rsidRPr="007B092D" w:rsidRDefault="007B092D" w:rsidP="007B092D">
            <w:pPr>
              <w:numPr>
                <w:ilvl w:val="0"/>
                <w:numId w:val="6"/>
              </w:numPr>
              <w:ind w:right="14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кв. м,</w:t>
            </w:r>
          </w:p>
          <w:p w:rsidR="007B092D" w:rsidRPr="007B092D" w:rsidRDefault="007B092D" w:rsidP="007B092D">
            <w:pPr>
              <w:numPr>
                <w:ilvl w:val="0"/>
                <w:numId w:val="6"/>
              </w:numPr>
              <w:ind w:right="14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кв. м,</w:t>
            </w:r>
          </w:p>
          <w:p w:rsidR="007B092D" w:rsidRPr="007B092D" w:rsidRDefault="007B092D" w:rsidP="007B092D">
            <w:pPr>
              <w:numPr>
                <w:ilvl w:val="0"/>
                <w:numId w:val="6"/>
              </w:numPr>
              <w:ind w:right="14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развозная и разносная розничная торговля,</w:t>
            </w:r>
          </w:p>
          <w:p w:rsidR="007B092D" w:rsidRPr="007B092D" w:rsidRDefault="007B092D" w:rsidP="007B092D">
            <w:pPr>
              <w:numPr>
                <w:ilvl w:val="0"/>
                <w:numId w:val="6"/>
              </w:numPr>
              <w:ind w:right="14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реализация товаров с использованием торговых автоматов, соответствующая следующим группировкам видов экономической деятельности (ОК 029-2014): </w:t>
            </w:r>
            <w:hyperlink r:id="rId9" w:anchor="/document/70650726/entry/45112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подгруппы 45.11.2</w:t>
              </w:r>
            </w:hyperlink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hyperlink r:id="rId10" w:anchor="/document/70650726/entry/45113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45.11.3</w:t>
              </w:r>
            </w:hyperlink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hyperlink r:id="rId11" w:anchor="/document/70650726/entry/451139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45.11.39</w:t>
              </w:r>
            </w:hyperlink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hyperlink r:id="rId12" w:anchor="/document/70650726/entry/45192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45.19.2</w:t>
              </w:r>
            </w:hyperlink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hyperlink r:id="rId13" w:anchor="/document/70650726/entry/45193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45.19.3</w:t>
              </w:r>
            </w:hyperlink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hyperlink r:id="rId14" w:anchor="/document/70650726/entry/451939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45.19.39</w:t>
              </w:r>
            </w:hyperlink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hyperlink r:id="rId15" w:anchor="/document/70650726/entry/4532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45.32</w:t>
              </w:r>
            </w:hyperlink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hyperlink r:id="rId16" w:anchor="/document/70650726/entry/45402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45.40.2</w:t>
              </w:r>
            </w:hyperlink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, </w:t>
            </w:r>
            <w:hyperlink r:id="rId17" w:anchor="/document/70650726/entry/45403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45.40.3 класса 45</w:t>
              </w:r>
            </w:hyperlink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"Торговля оптовая и розничная автотранспортными средствами и мотоциклами и их ремонт", класс 47 "Торговля розничная, кроме торговли автотранспортными средствами и мотоциклами" </w:t>
            </w:r>
            <w:hyperlink r:id="rId18" w:anchor="/document/70650726/entry/700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 xml:space="preserve">раздела </w:t>
              </w:r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G</w:t>
              </w:r>
            </w:hyperlink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"Торговля оптовая и розничная; ремонт автотранспортных средств и мотоциклов";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Arial" w:hAnsi="Arial" w:cs="Arial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2) налогоплательщик применял в </w:t>
            </w:r>
            <w:r w:rsidRPr="007B092D">
              <w:rPr>
                <w:rFonts w:ascii="Times New Roman" w:hAnsi="Times New Roman"/>
                <w:sz w:val="18"/>
                <w:szCs w:val="18"/>
              </w:rPr>
              <w:t>IV</w:t>
            </w: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квартале 2020 года по соответствующему виду предпринимательской деятельности ЕНВД. 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 w:right="142"/>
              <w:rPr>
                <w:rFonts w:ascii="Times New Roman" w:hAnsi="Times New Roman"/>
                <w:color w:val="1154CC"/>
                <w:spacing w:val="-145"/>
                <w:sz w:val="18"/>
                <w:szCs w:val="18"/>
                <w:u w:val="single" w:color="1154CC"/>
                <w:lang w:val="ru-RU"/>
              </w:rPr>
            </w:pPr>
            <w:hyperlink r:id="rId19" w:anchor="/document/28352196/paragraph/2039/doclist/25498/showentries/0/highlight/20.12.2010 №146-ОЗ:4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 w:eastAsia="ru-RU"/>
                </w:rPr>
                <w:t>П. 2.4 ст. 1 Закона от 20.12.2010 №146-ОЗ</w:t>
              </w:r>
            </w:hyperlink>
          </w:p>
        </w:tc>
      </w:tr>
      <w:tr w:rsidR="007B092D" w:rsidRPr="007B092D" w:rsidTr="00C82901">
        <w:trPr>
          <w:trHeight w:val="406"/>
        </w:trPr>
        <w:tc>
          <w:tcPr>
            <w:tcW w:w="1874" w:type="dxa"/>
          </w:tcPr>
          <w:p w:rsidR="007B092D" w:rsidRPr="007B092D" w:rsidRDefault="007B092D" w:rsidP="007B092D">
            <w:pPr>
              <w:ind w:left="95" w:right="2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Продление налоговых каникул </w:t>
            </w:r>
          </w:p>
        </w:tc>
        <w:tc>
          <w:tcPr>
            <w:tcW w:w="7199" w:type="dxa"/>
          </w:tcPr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До 2024 года продлены налоговые каникулы (нулевая ставка) для ИП на УСН. То есть индивидуальные предприниматели могут не платить УСН-налог, если:</w:t>
            </w:r>
          </w:p>
          <w:p w:rsidR="007B092D" w:rsidRPr="007B092D" w:rsidRDefault="007B092D" w:rsidP="007B092D">
            <w:pPr>
              <w:numPr>
                <w:ilvl w:val="0"/>
                <w:numId w:val="1"/>
              </w:numPr>
              <w:ind w:right="141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 субъекте РФ принят закон о налоговых каникулах для ИП, которые ведут бизнес в определенной сфере </w:t>
            </w:r>
            <w:r w:rsidRPr="007B092D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(в Ивановской области – Закон от 20.12.2010 №146-ОЗ)</w:t>
            </w: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Это может быть деятельность в производственной, социальной и научной сферах, а также в сфере бытовых услуг населению. Также региональные власти </w:t>
            </w: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могут добавить услуги по предоставлению мест для временного проживания</w:t>
            </w:r>
            <w:r w:rsidRPr="007B092D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(деятельность гостиниц, хостелов, кемпингов). </w:t>
            </w:r>
          </w:p>
          <w:p w:rsidR="007B092D" w:rsidRPr="007B092D" w:rsidRDefault="007B092D" w:rsidP="007B092D">
            <w:pPr>
              <w:numPr>
                <w:ilvl w:val="0"/>
                <w:numId w:val="1"/>
              </w:numPr>
              <w:tabs>
                <w:tab w:val="left" w:pos="536"/>
              </w:tabs>
              <w:ind w:right="141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Индивидуальный предприниматель зарегистрирован после принятия соответствующего регионального закона </w:t>
            </w:r>
            <w:r w:rsidRPr="007B092D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(в Ивановской области – с 12.11.2015).</w:t>
            </w:r>
          </w:p>
          <w:p w:rsidR="007B092D" w:rsidRPr="007B092D" w:rsidRDefault="007B092D" w:rsidP="007B092D">
            <w:pPr>
              <w:tabs>
                <w:tab w:val="left" w:pos="395"/>
              </w:tabs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Налоговые каникулы действуют для «ИП-новичка» в течение двух налоговых периодов его работы</w:t>
            </w:r>
            <w:r w:rsidRPr="007B092D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в рамках двух календарных лет</w:t>
            </w: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 w:righ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7B092D">
              <w:rPr>
                <w:rFonts w:ascii="Times New Roman" w:hAnsi="Times New Roman"/>
                <w:color w:val="1154CC"/>
                <w:spacing w:val="-145"/>
                <w:sz w:val="18"/>
                <w:szCs w:val="18"/>
                <w:u w:val="single" w:color="1154CC"/>
                <w:lang w:val="ru-RU"/>
              </w:rPr>
              <w:lastRenderedPageBreak/>
              <w:t>С</w:t>
            </w:r>
            <w:hyperlink r:id="rId20"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>Ст</w:t>
              </w:r>
              <w:proofErr w:type="spellEnd"/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>. 2 Закона от</w:t>
              </w:r>
            </w:hyperlink>
          </w:p>
          <w:p w:rsidR="007B092D" w:rsidRPr="007B092D" w:rsidRDefault="007B092D" w:rsidP="007B092D">
            <w:pPr>
              <w:ind w:left="95" w:righ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color w:val="1154CC"/>
                <w:spacing w:val="-112"/>
                <w:sz w:val="18"/>
                <w:szCs w:val="18"/>
                <w:u w:val="single" w:color="1154CC"/>
                <w:lang w:val="ru-RU"/>
              </w:rPr>
              <w:t>3</w:t>
            </w:r>
            <w:hyperlink r:id="rId21"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>31.07.2020 № 266-ФЗ</w:t>
              </w:r>
            </w:hyperlink>
          </w:p>
        </w:tc>
      </w:tr>
      <w:tr w:rsidR="007B092D" w:rsidRPr="007B092D" w:rsidTr="00C82901">
        <w:trPr>
          <w:trHeight w:val="406"/>
        </w:trPr>
        <w:tc>
          <w:tcPr>
            <w:tcW w:w="1874" w:type="dxa"/>
          </w:tcPr>
          <w:p w:rsidR="007B092D" w:rsidRPr="007B092D" w:rsidRDefault="007B092D" w:rsidP="007B092D">
            <w:pPr>
              <w:ind w:left="95" w:right="2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Новая форма декларации</w:t>
            </w:r>
          </w:p>
        </w:tc>
        <w:tc>
          <w:tcPr>
            <w:tcW w:w="7199" w:type="dxa"/>
          </w:tcPr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 1 января 2021 года вводится новая форма УСН-декларации с гибкими ставками налога. 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ФНС подготовлен проект нового бланка, в котором предусмотрена графа «Код признака применения налоговой ставки». Код признака «1» будет обозначать обычные ставки, а «2» – повышенные. То есть, если в середине года плательщик УСН нарушит базовые лимиты по доходам или численности, необходимо заполнять один раздел с признаком «1» (за период до превышения) и другой раздел – с признаком «2» (начиная с того квартала, в котором лимит превышен). Если лимиты превышены уже в первом квартале, необходимо заполнить только раздел с признаком «2». 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Также проект новой формы УСН-декларации с гибкими ставками налога предусматривает добавление новой строки «Код налоговой льготы». 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/>
              <w:rPr>
                <w:rFonts w:ascii="Times New Roman" w:hAnsi="Times New Roman"/>
                <w:sz w:val="18"/>
                <w:szCs w:val="18"/>
                <w:u w:color="0000CC"/>
              </w:rPr>
            </w:pPr>
            <w:hyperlink r:id="rId22" w:anchor="npa=108725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 w:color="1154CC"/>
                  <w:lang w:val="ru-RU"/>
                </w:rPr>
                <w:t>Проект приказа ФНС</w:t>
              </w:r>
            </w:hyperlink>
          </w:p>
        </w:tc>
      </w:tr>
      <w:tr w:rsidR="007B092D" w:rsidRPr="007B092D" w:rsidTr="00C82901">
        <w:trPr>
          <w:trHeight w:val="265"/>
        </w:trPr>
        <w:tc>
          <w:tcPr>
            <w:tcW w:w="11199" w:type="dxa"/>
            <w:gridSpan w:val="3"/>
          </w:tcPr>
          <w:p w:rsidR="007B092D" w:rsidRPr="007B092D" w:rsidRDefault="007B092D" w:rsidP="007B092D">
            <w:pPr>
              <w:ind w:left="95" w:right="142"/>
              <w:jc w:val="center"/>
              <w:rPr>
                <w:rFonts w:ascii="Times New Roman" w:hAnsi="Times New Roman"/>
                <w:b/>
                <w:color w:val="1154CC"/>
                <w:spacing w:val="-145"/>
                <w:sz w:val="18"/>
                <w:szCs w:val="18"/>
                <w:u w:val="single" w:color="1154CC"/>
              </w:rPr>
            </w:pPr>
            <w:r w:rsidRPr="007B092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Патентная система н/о</w:t>
            </w:r>
          </w:p>
        </w:tc>
      </w:tr>
      <w:tr w:rsidR="007B092D" w:rsidRPr="007B092D" w:rsidTr="00C82901">
        <w:trPr>
          <w:trHeight w:val="841"/>
        </w:trPr>
        <w:tc>
          <w:tcPr>
            <w:tcW w:w="1874" w:type="dxa"/>
          </w:tcPr>
          <w:p w:rsidR="007B092D" w:rsidRPr="007B092D" w:rsidRDefault="007B092D" w:rsidP="007B092D">
            <w:pPr>
              <w:ind w:left="95" w:right="2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Обновлен перечень видов деятельности на патенте</w:t>
            </w:r>
          </w:p>
        </w:tc>
        <w:tc>
          <w:tcPr>
            <w:tcW w:w="7199" w:type="dxa"/>
          </w:tcPr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С 1 января 2021 года субъекты РФ самостоятельно устанавливают окончательный список видов деятельности на патенте. Выбирая патентную систему н/о по конкретному субъекту РФ, необходимо смотреть региональный закон на 2021 год.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 НК РФ остался рекомендательный список, но его кардинально обновили. Так, например, с 2021 года ремонт и пошив швейных, меховых и кожаных изделий, головных уборов и изделий из текстильной галантереи, ремонт, пошив и вязание трикотажных изделий на патенте возможен ТОЛЬКО по индивидуальным </w:t>
            </w:r>
            <w:proofErr w:type="gramStart"/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заказам  населения</w:t>
            </w:r>
            <w:proofErr w:type="gramEnd"/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. То есть, по сути, это только</w:t>
            </w:r>
            <w:r w:rsidRPr="007B092D">
              <w:rPr>
                <w:rFonts w:ascii="Times New Roman" w:hAnsi="Times New Roman"/>
                <w:sz w:val="18"/>
                <w:szCs w:val="18"/>
              </w:rPr>
              <w:t> </w:t>
            </w: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ателье</w:t>
            </w:r>
            <w:r w:rsidRPr="007B092D">
              <w:rPr>
                <w:rFonts w:ascii="Times New Roman" w:hAnsi="Times New Roman"/>
                <w:sz w:val="18"/>
                <w:szCs w:val="18"/>
              </w:rPr>
              <w:t> </w:t>
            </w: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и надомники. И применять данный патент при работе с юридическими лицами с 2021 года будет запрещено.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 w:right="142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hyperlink r:id="rId23"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 xml:space="preserve">П. </w:t>
              </w:r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</w:rPr>
                <w:t xml:space="preserve">2 </w:t>
              </w:r>
              <w:proofErr w:type="spellStart"/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</w:rPr>
                <w:t>ст</w:t>
              </w:r>
              <w:proofErr w:type="spellEnd"/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</w:rPr>
                <w:t>.</w:t>
              </w:r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 xml:space="preserve"> </w:t>
              </w:r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</w:rPr>
                <w:t>346.43 Н</w:t>
              </w:r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>К РФ</w:t>
              </w:r>
            </w:hyperlink>
          </w:p>
        </w:tc>
      </w:tr>
      <w:tr w:rsidR="007B092D" w:rsidRPr="007B092D" w:rsidTr="00C82901">
        <w:trPr>
          <w:trHeight w:val="3298"/>
        </w:trPr>
        <w:tc>
          <w:tcPr>
            <w:tcW w:w="1874" w:type="dxa"/>
          </w:tcPr>
          <w:p w:rsidR="007B092D" w:rsidRPr="007B092D" w:rsidRDefault="007B092D" w:rsidP="007B092D">
            <w:pPr>
              <w:ind w:left="95" w:right="2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Дополнены запрещенные на патенте бизнесы</w:t>
            </w:r>
          </w:p>
        </w:tc>
        <w:tc>
          <w:tcPr>
            <w:tcW w:w="7199" w:type="dxa"/>
          </w:tcPr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 2021 году сохранятся действующие ограничения: нельзя работать на патенте, если бизнес ведется в рамках договора простого товарищества, о совместной деятельности или доверительного управления имуществом. Также </w:t>
            </w:r>
            <w:r w:rsidRPr="007B092D"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>ИП, выбравшие патент по розничной торговле, не вправе продавать товары, которые не относятся к розничной торговле в рамках ПСН, – это продукция собственного производства, некоторые маркируемые товары и др. (</w:t>
            </w:r>
            <w:proofErr w:type="spellStart"/>
            <w:r w:rsidRPr="007B092D"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>пп</w:t>
            </w:r>
            <w:proofErr w:type="spellEnd"/>
            <w:r w:rsidRPr="007B092D"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>. 4 п. 6 ст. 346.45</w:t>
            </w:r>
            <w:r w:rsidRPr="007B092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7B092D"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НК РФ). 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 1 января 2021 года дополнительно к ним добавлены следующие ограничения: </w:t>
            </w:r>
          </w:p>
          <w:p w:rsidR="007B092D" w:rsidRPr="007B092D" w:rsidRDefault="007B092D" w:rsidP="007B092D">
            <w:pPr>
              <w:numPr>
                <w:ilvl w:val="0"/>
                <w:numId w:val="5"/>
              </w:numPr>
              <w:ind w:left="962" w:right="141" w:hanging="20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стационарная розничная торговля с залом более 150 кв. м; </w:t>
            </w:r>
          </w:p>
          <w:p w:rsidR="007B092D" w:rsidRPr="007B092D" w:rsidRDefault="007B092D" w:rsidP="007B092D">
            <w:pPr>
              <w:numPr>
                <w:ilvl w:val="0"/>
                <w:numId w:val="5"/>
              </w:numPr>
              <w:ind w:left="962" w:right="141" w:hanging="20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услуги общепита с залом более 150 кв. м; </w:t>
            </w:r>
          </w:p>
          <w:p w:rsidR="007B092D" w:rsidRPr="007B092D" w:rsidRDefault="007B092D" w:rsidP="007B092D">
            <w:pPr>
              <w:numPr>
                <w:ilvl w:val="0"/>
                <w:numId w:val="5"/>
              </w:numPr>
              <w:ind w:left="962" w:right="141" w:hanging="20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опт и торговля по договорам поставки; </w:t>
            </w:r>
          </w:p>
          <w:p w:rsidR="007B092D" w:rsidRPr="007B092D" w:rsidRDefault="007B092D" w:rsidP="007B092D">
            <w:pPr>
              <w:numPr>
                <w:ilvl w:val="0"/>
                <w:numId w:val="5"/>
              </w:numPr>
              <w:ind w:left="962" w:right="141" w:hanging="20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перевозка грузов и пассажиров, если для этих целей у ИП более 20 машин на правах собственности, в пользовании, владении или распоряжении; </w:t>
            </w:r>
          </w:p>
          <w:p w:rsidR="007B092D" w:rsidRPr="007B092D" w:rsidRDefault="007B092D" w:rsidP="007B092D">
            <w:pPr>
              <w:numPr>
                <w:ilvl w:val="0"/>
                <w:numId w:val="5"/>
              </w:numPr>
              <w:ind w:left="962" w:right="141" w:hanging="20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производство подакцизных товаров, добыча и реализация полезных ископаемых; </w:t>
            </w:r>
          </w:p>
          <w:p w:rsidR="007B092D" w:rsidRPr="007B092D" w:rsidRDefault="007B092D" w:rsidP="007B092D">
            <w:pPr>
              <w:numPr>
                <w:ilvl w:val="0"/>
                <w:numId w:val="5"/>
              </w:numPr>
              <w:ind w:left="962" w:right="141" w:hanging="207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сделки с ценными бумагами или производными финансовыми инструментами, а также оказание кредитных и других финансовых услуг. 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 w:right="142"/>
              <w:jc w:val="both"/>
              <w:rPr>
                <w:rFonts w:ascii="Arial" w:hAnsi="Arial" w:cs="Arial"/>
                <w:lang w:val="ru-RU"/>
              </w:rPr>
            </w:pPr>
            <w:hyperlink r:id="rId24"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>П. 6 ст. 346.43 НК РФ</w:t>
              </w:r>
            </w:hyperlink>
            <w:r w:rsidRPr="007B092D">
              <w:rPr>
                <w:rFonts w:ascii="Arial" w:hAnsi="Arial" w:cs="Arial"/>
                <w:lang w:val="ru-RU"/>
              </w:rPr>
              <w:t>,</w:t>
            </w:r>
          </w:p>
          <w:p w:rsidR="007B092D" w:rsidRPr="007B092D" w:rsidRDefault="007B092D" w:rsidP="007B092D">
            <w:pPr>
              <w:ind w:left="95" w:right="142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7B092D"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>пп</w:t>
            </w:r>
            <w:proofErr w:type="spellEnd"/>
            <w:r w:rsidRPr="007B092D"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>. 4 п. 6 ст. 346.45</w:t>
            </w:r>
            <w:r w:rsidRPr="007B092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7B092D"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>НК РФ</w:t>
            </w:r>
          </w:p>
        </w:tc>
      </w:tr>
      <w:tr w:rsidR="007B092D" w:rsidRPr="007B092D" w:rsidTr="00C82901">
        <w:trPr>
          <w:trHeight w:val="1676"/>
        </w:trPr>
        <w:tc>
          <w:tcPr>
            <w:tcW w:w="1874" w:type="dxa"/>
          </w:tcPr>
          <w:p w:rsidR="007B092D" w:rsidRPr="007B092D" w:rsidRDefault="007B092D" w:rsidP="007B092D">
            <w:pPr>
              <w:ind w:left="95" w:right="2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Новый налоговый период </w:t>
            </w:r>
          </w:p>
        </w:tc>
        <w:tc>
          <w:tcPr>
            <w:tcW w:w="7199" w:type="dxa"/>
          </w:tcPr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 2021 год налоговым периодом по патенту является календарный месяц. Исключение – если ИП берет патент меньше чем на год. Тогда налоговый период – это срок, на который выдан патент. 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Порядок – временный, действует в 2021 году. 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Во-первых, это позволит запускать обновленные региональные законы не четко с 1 января 2021 года, а, например, с 1 марта. 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Во-вторых, уменьшать патент на страховые взносы нужно именно в разрезе налогового периода. То есть в каком периоде уплатили, в таком и уменьшаем.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hyperlink r:id="rId25" w:anchor="07338113588354584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П.</w:t>
              </w:r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 xml:space="preserve">1.1 </w:t>
              </w:r>
              <w:proofErr w:type="spellStart"/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ст</w:t>
              </w:r>
              <w:proofErr w:type="spellEnd"/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346.49 НК РФ</w:t>
              </w:r>
            </w:hyperlink>
          </w:p>
        </w:tc>
      </w:tr>
      <w:tr w:rsidR="007B092D" w:rsidRPr="007B092D" w:rsidTr="00C82901">
        <w:trPr>
          <w:trHeight w:val="846"/>
        </w:trPr>
        <w:tc>
          <w:tcPr>
            <w:tcW w:w="1874" w:type="dxa"/>
          </w:tcPr>
          <w:p w:rsidR="007B092D" w:rsidRPr="007B092D" w:rsidRDefault="007B092D" w:rsidP="007B092D">
            <w:pPr>
              <w:ind w:left="95" w:right="2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Новая форма заявления на патент</w:t>
            </w:r>
          </w:p>
        </w:tc>
        <w:tc>
          <w:tcPr>
            <w:tcW w:w="7199" w:type="dxa"/>
          </w:tcPr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Arial" w:hAnsi="Arial" w:cs="Arial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С 11 января 2021 года вступил в силу приказ ФНС России «Об утверждении формы заявления на получение патента, порядка ее заполнения, формата представления заявления на получение патента в электронной форме и о признании утратившим силу приказа Федеральной налоговой службы от 11.07.2017 №ММВ-7-3/544@».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 w:right="142"/>
              <w:jc w:val="both"/>
              <w:rPr>
                <w:rFonts w:ascii="Times New Roman" w:hAnsi="Times New Roman"/>
                <w:color w:val="1154CC"/>
                <w:spacing w:val="-145"/>
                <w:sz w:val="18"/>
                <w:szCs w:val="18"/>
                <w:u w:val="single" w:color="1154CC"/>
                <w:lang w:val="ru-RU"/>
              </w:rPr>
            </w:pPr>
            <w:r w:rsidRPr="007B092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Приказ ФНС </w:t>
            </w:r>
            <w:hyperlink r:id="rId26" w:anchor="/document/400164700/paragraph/1:3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от 09.12.2020 №</w:t>
              </w:r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 </w:t>
              </w:r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КЧ-7-3/891@</w:t>
              </w:r>
            </w:hyperlink>
          </w:p>
        </w:tc>
      </w:tr>
      <w:tr w:rsidR="007B092D" w:rsidRPr="007B092D" w:rsidTr="00C82901">
        <w:trPr>
          <w:trHeight w:val="1412"/>
        </w:trPr>
        <w:tc>
          <w:tcPr>
            <w:tcW w:w="1874" w:type="dxa"/>
          </w:tcPr>
          <w:p w:rsidR="007B092D" w:rsidRPr="007B092D" w:rsidRDefault="007B092D" w:rsidP="007B092D">
            <w:pPr>
              <w:shd w:val="clear" w:color="auto" w:fill="FFFFFF"/>
              <w:ind w:left="31" w:right="142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Получение патента за один день</w:t>
            </w:r>
          </w:p>
          <w:p w:rsidR="007B092D" w:rsidRPr="007B092D" w:rsidRDefault="007B092D" w:rsidP="007B092D">
            <w:pPr>
              <w:ind w:left="95" w:right="255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99" w:type="dxa"/>
          </w:tcPr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ИП подает заявление на патент, и обычно у ФНС есть 5 рабочих дней на выдачу патента или отказ в его выдаче. 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 31 марта 2021 года, когда заявление ИП отправляет по ТКС или через ЛК ИП, актуален специальный порядок: ИФНС ответит на следующий день. 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Если заявление направить на бумаге или по почте, срок будет – 5 рабочих дней. </w:t>
            </w:r>
          </w:p>
          <w:p w:rsidR="007B092D" w:rsidRPr="007B092D" w:rsidRDefault="007B092D" w:rsidP="007B092D">
            <w:pPr>
              <w:ind w:left="95" w:right="141" w:firstLine="300"/>
              <w:jc w:val="both"/>
              <w:rPr>
                <w:rFonts w:ascii="Arial" w:hAnsi="Arial" w:cs="Arial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Порядок – временный, действует для заявлений, которые поданы до 31 марта 2021 года.</w:t>
            </w:r>
            <w:r w:rsidRPr="007B092D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 w:righ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Письмо ФНС от </w:t>
            </w:r>
            <w:hyperlink r:id="rId27" w:anchor="/document/75061768/paragraph/1/doclist/13213/showentries/0/highlight/04.12.2020 N СД-4-3|19994:8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04.12.2020 № СД-4-3/19994</w:t>
              </w:r>
            </w:hyperlink>
          </w:p>
        </w:tc>
      </w:tr>
      <w:tr w:rsidR="007B092D" w:rsidRPr="007B092D" w:rsidTr="00C82901">
        <w:trPr>
          <w:trHeight w:val="1676"/>
        </w:trPr>
        <w:tc>
          <w:tcPr>
            <w:tcW w:w="1874" w:type="dxa"/>
          </w:tcPr>
          <w:p w:rsidR="007B092D" w:rsidRPr="007B092D" w:rsidRDefault="007B092D" w:rsidP="007B092D">
            <w:pPr>
              <w:ind w:left="95" w:right="2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Уменьшение стоимости патента на страховые взносы</w:t>
            </w:r>
          </w:p>
        </w:tc>
        <w:tc>
          <w:tcPr>
            <w:tcW w:w="7199" w:type="dxa"/>
          </w:tcPr>
          <w:p w:rsidR="007B092D" w:rsidRPr="007B092D" w:rsidRDefault="007B092D" w:rsidP="007B092D">
            <w:pPr>
              <w:ind w:left="95" w:right="141" w:firstLine="33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 1 января 2021 года налогоплательщики, применяющие патентую систему налогообложения, смогут формировать налоговый вычет аналогично «упрощенцам»: </w:t>
            </w:r>
          </w:p>
          <w:p w:rsidR="007B092D" w:rsidRPr="007B092D" w:rsidRDefault="007B092D" w:rsidP="007B092D">
            <w:pPr>
              <w:numPr>
                <w:ilvl w:val="0"/>
                <w:numId w:val="2"/>
              </w:numPr>
              <w:tabs>
                <w:tab w:val="left" w:pos="708"/>
              </w:tabs>
              <w:ind w:left="95" w:right="141" w:firstLine="330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ИП без наемных сотрудников – уменьшать налог вплоть до нуля; </w:t>
            </w:r>
          </w:p>
          <w:p w:rsidR="007B092D" w:rsidRPr="007B092D" w:rsidRDefault="007B092D" w:rsidP="007B092D">
            <w:pPr>
              <w:numPr>
                <w:ilvl w:val="0"/>
                <w:numId w:val="2"/>
              </w:numPr>
              <w:tabs>
                <w:tab w:val="left" w:pos="708"/>
              </w:tabs>
              <w:ind w:left="95" w:right="141" w:firstLine="330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ИП с наемными работниками – не более чем на 50%. </w:t>
            </w:r>
          </w:p>
          <w:p w:rsidR="007B092D" w:rsidRPr="007B092D" w:rsidRDefault="007B092D" w:rsidP="007B092D">
            <w:pPr>
              <w:tabs>
                <w:tab w:val="left" w:pos="1134"/>
              </w:tabs>
              <w:ind w:left="95" w:right="141" w:firstLine="33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 состав вычета можно включать не только личные взносы ИП, но и страховые взносы за работников, а также выплаченные сотрудникам больничные и взносы на добровольное личное страхование в пользу работников на случай временной нетрудоспособности. При этом сотрудники должны работать в том «патентном» бизнесе, по которому считается налог. </w:t>
            </w:r>
          </w:p>
          <w:p w:rsidR="007B092D" w:rsidRPr="007B092D" w:rsidRDefault="007B092D" w:rsidP="007B092D">
            <w:pPr>
              <w:ind w:left="95" w:right="141" w:firstLine="33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color w:val="0A0A0A"/>
                <w:sz w:val="18"/>
                <w:szCs w:val="18"/>
                <w:lang w:val="ru-RU"/>
              </w:rPr>
              <w:t>При п</w:t>
            </w: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рименении ПСН не нужно сдавать деклараций, поэтому информировать ИФНС об уменьшении стоимости патента необходимо будет, подав специальное уведомление. Форму и порядок подачи такого уведомления утвердит ФНС. 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 w:right="142"/>
              <w:rPr>
                <w:rFonts w:ascii="Times New Roman" w:hAnsi="Times New Roman"/>
                <w:color w:val="1154CC"/>
                <w:spacing w:val="-145"/>
                <w:sz w:val="18"/>
                <w:szCs w:val="18"/>
                <w:u w:val="single" w:color="1154CC"/>
                <w:lang w:val="ru-RU"/>
              </w:rPr>
            </w:pPr>
            <w:hyperlink r:id="rId28"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 xml:space="preserve">П. </w:t>
              </w:r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</w:rPr>
                <w:t xml:space="preserve">1.2 </w:t>
              </w:r>
              <w:proofErr w:type="spellStart"/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</w:rPr>
                <w:t>ст</w:t>
              </w:r>
              <w:proofErr w:type="spellEnd"/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</w:rPr>
                <w:t>.</w:t>
              </w:r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 xml:space="preserve"> </w:t>
              </w:r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</w:rPr>
                <w:t>346.51 Н</w:t>
              </w:r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>К РФ</w:t>
              </w:r>
            </w:hyperlink>
          </w:p>
        </w:tc>
      </w:tr>
      <w:tr w:rsidR="007B092D" w:rsidRPr="007B092D" w:rsidTr="00C82901">
        <w:trPr>
          <w:trHeight w:val="689"/>
        </w:trPr>
        <w:tc>
          <w:tcPr>
            <w:tcW w:w="1874" w:type="dxa"/>
          </w:tcPr>
          <w:p w:rsidR="007B092D" w:rsidRPr="007B092D" w:rsidRDefault="007B092D" w:rsidP="007B092D">
            <w:pPr>
              <w:ind w:left="95" w:right="2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Отмена максимального размера потенциально возможного дохода</w:t>
            </w:r>
          </w:p>
        </w:tc>
        <w:tc>
          <w:tcPr>
            <w:tcW w:w="7199" w:type="dxa"/>
          </w:tcPr>
          <w:p w:rsidR="007B092D" w:rsidRPr="007B092D" w:rsidRDefault="007B092D" w:rsidP="007B092D">
            <w:pPr>
              <w:ind w:left="95" w:right="142" w:firstLine="33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С 1 января 2021 года исключено положение, устанавливавшее максимальный размер потенциально возможного дохода на патенте (в общем случае – 1 млн руб. с учетом индексации). Теперь стоимостные рамки патента определяют субъекты РФ по своему усмотрению без каких-либо ограничений.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Утратил силу </w:t>
            </w:r>
            <w:proofErr w:type="spellStart"/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пп</w:t>
            </w:r>
            <w:proofErr w:type="spellEnd"/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4 п. 8 ст. 346.43 НК РФ </w:t>
            </w:r>
          </w:p>
        </w:tc>
      </w:tr>
      <w:tr w:rsidR="007B092D" w:rsidRPr="007B092D" w:rsidTr="00C82901">
        <w:trPr>
          <w:trHeight w:val="689"/>
        </w:trPr>
        <w:tc>
          <w:tcPr>
            <w:tcW w:w="1874" w:type="dxa"/>
          </w:tcPr>
          <w:p w:rsidR="007B092D" w:rsidRPr="007B092D" w:rsidRDefault="007B092D" w:rsidP="007B092D">
            <w:pPr>
              <w:ind w:left="95" w:right="2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Продление налоговых каникул </w:t>
            </w:r>
          </w:p>
        </w:tc>
        <w:tc>
          <w:tcPr>
            <w:tcW w:w="7199" w:type="dxa"/>
          </w:tcPr>
          <w:p w:rsidR="007B092D" w:rsidRPr="007B092D" w:rsidRDefault="007B092D" w:rsidP="007B092D">
            <w:pPr>
              <w:ind w:left="95" w:right="142" w:firstLine="33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До 2024 года продлены налоговые каникулы для ИП на патенте.</w:t>
            </w:r>
          </w:p>
          <w:p w:rsidR="007B092D" w:rsidRPr="007B092D" w:rsidRDefault="007B092D" w:rsidP="007B092D">
            <w:pPr>
              <w:ind w:left="95" w:right="142" w:firstLine="33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То есть индивидуальные предприниматели могут не платить налог, если:</w:t>
            </w:r>
          </w:p>
          <w:p w:rsidR="007B092D" w:rsidRPr="007B092D" w:rsidRDefault="007B092D" w:rsidP="007B092D">
            <w:pPr>
              <w:numPr>
                <w:ilvl w:val="0"/>
                <w:numId w:val="3"/>
              </w:numPr>
              <w:ind w:left="95" w:right="142" w:firstLine="33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 субъекте РФ принят закон о налоговых каникулах для ИП, которые ведут бизнес в определенной сфере </w:t>
            </w:r>
            <w:r w:rsidRPr="007B092D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(в Ивановской области – Закон от 29.11.12 №99-ОЗ)</w:t>
            </w: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На патенте это может быть деятельность в производственной, социальной и/или научной сферах, а также в сфере бытовых услуг населению. </w:t>
            </w:r>
          </w:p>
          <w:p w:rsidR="007B092D" w:rsidRPr="007B092D" w:rsidRDefault="007B092D" w:rsidP="007B092D">
            <w:pPr>
              <w:numPr>
                <w:ilvl w:val="0"/>
                <w:numId w:val="3"/>
              </w:numPr>
              <w:ind w:left="95" w:right="142" w:firstLine="33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ИП впервые зарегистрирован после принятия соответствующего регионального закона</w:t>
            </w:r>
            <w:r w:rsidRPr="007B092D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(в Ивановской области – с 01.01.2016).</w:t>
            </w:r>
          </w:p>
          <w:p w:rsidR="007B092D" w:rsidRPr="007B092D" w:rsidRDefault="007B092D" w:rsidP="007B092D">
            <w:pPr>
              <w:ind w:left="95" w:right="142" w:firstLine="33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Налоговые каникулы действуют для ИП в течение двух налоговых периодов его работы в пределах двух календарных лет.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hyperlink r:id="rId29">
              <w:proofErr w:type="spellStart"/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>Ст</w:t>
              </w:r>
              <w:proofErr w:type="spellEnd"/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</w:rPr>
                <w:t>.</w:t>
              </w:r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 xml:space="preserve"> </w:t>
              </w:r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</w:rPr>
                <w:t xml:space="preserve">2 </w:t>
              </w:r>
              <w:proofErr w:type="spellStart"/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</w:rPr>
                <w:t>Закона</w:t>
              </w:r>
              <w:proofErr w:type="spellEnd"/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</w:rPr>
                <w:t xml:space="preserve"> </w:t>
              </w:r>
              <w:proofErr w:type="spellStart"/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</w:rPr>
                <w:t>от</w:t>
              </w:r>
              <w:proofErr w:type="spellEnd"/>
            </w:hyperlink>
          </w:p>
          <w:p w:rsidR="007B092D" w:rsidRPr="007B092D" w:rsidRDefault="007B092D" w:rsidP="007B092D">
            <w:pPr>
              <w:ind w:left="95" w:right="142"/>
              <w:jc w:val="both"/>
              <w:rPr>
                <w:rFonts w:ascii="Times New Roman" w:hAnsi="Times New Roman"/>
                <w:color w:val="1154CC"/>
                <w:spacing w:val="-145"/>
                <w:sz w:val="18"/>
                <w:szCs w:val="18"/>
                <w:u w:val="single" w:color="1154CC"/>
                <w:lang w:val="ru-RU"/>
              </w:rPr>
            </w:pPr>
            <w:r w:rsidRPr="007B092D">
              <w:rPr>
                <w:rFonts w:ascii="Times New Roman" w:hAnsi="Times New Roman"/>
                <w:color w:val="1154CC"/>
                <w:spacing w:val="-112"/>
                <w:sz w:val="18"/>
                <w:szCs w:val="18"/>
                <w:u w:val="single" w:color="1154CC"/>
              </w:rPr>
              <w:t>3</w:t>
            </w:r>
            <w:hyperlink r:id="rId30"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>31</w:t>
              </w:r>
              <w:r w:rsidRPr="007B092D">
                <w:rPr>
                  <w:rFonts w:ascii="Times New Roman" w:hAnsi="Times New Roman"/>
                  <w:color w:val="1154CC"/>
                  <w:sz w:val="18"/>
                  <w:szCs w:val="18"/>
                  <w:u w:val="single" w:color="1154CC"/>
                </w:rPr>
                <w:t>.07.2020 № 266-ФЗ</w:t>
              </w:r>
            </w:hyperlink>
          </w:p>
        </w:tc>
      </w:tr>
      <w:tr w:rsidR="007B092D" w:rsidRPr="007B092D" w:rsidTr="00C82901">
        <w:trPr>
          <w:trHeight w:val="233"/>
        </w:trPr>
        <w:tc>
          <w:tcPr>
            <w:tcW w:w="11199" w:type="dxa"/>
            <w:gridSpan w:val="3"/>
          </w:tcPr>
          <w:p w:rsidR="007B092D" w:rsidRPr="007B092D" w:rsidRDefault="007B092D" w:rsidP="007B092D">
            <w:pPr>
              <w:ind w:left="95" w:right="14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Налог на профессиональный доход (</w:t>
            </w:r>
            <w:proofErr w:type="spellStart"/>
            <w:r w:rsidRPr="007B092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самозанятость</w:t>
            </w:r>
            <w:proofErr w:type="spellEnd"/>
            <w:r w:rsidRPr="007B092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)</w:t>
            </w:r>
          </w:p>
        </w:tc>
      </w:tr>
      <w:tr w:rsidR="007B092D" w:rsidRPr="007B092D" w:rsidTr="00C82901">
        <w:trPr>
          <w:trHeight w:val="407"/>
        </w:trPr>
        <w:tc>
          <w:tcPr>
            <w:tcW w:w="1874" w:type="dxa"/>
          </w:tcPr>
          <w:p w:rsidR="007B092D" w:rsidRPr="007B092D" w:rsidRDefault="007B092D" w:rsidP="007B092D">
            <w:pPr>
              <w:ind w:left="95" w:right="2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Новый </w:t>
            </w:r>
            <w:proofErr w:type="spellStart"/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спецрежим</w:t>
            </w:r>
            <w:proofErr w:type="spellEnd"/>
          </w:p>
        </w:tc>
        <w:tc>
          <w:tcPr>
            <w:tcW w:w="7199" w:type="dxa"/>
          </w:tcPr>
          <w:p w:rsidR="007B092D" w:rsidRPr="007B092D" w:rsidRDefault="007B092D" w:rsidP="007B092D">
            <w:pPr>
              <w:tabs>
                <w:tab w:val="left" w:pos="5812"/>
              </w:tabs>
              <w:ind w:left="95" w:right="142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 2020 году </w:t>
            </w:r>
            <w:proofErr w:type="spellStart"/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самозанятость</w:t>
            </w:r>
            <w:proofErr w:type="spellEnd"/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введена во всех регионах России. В 2021 году данный специальный режим н/о продолжит действовать на всей территории РФ.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 w:right="142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B092D" w:rsidRPr="007B092D" w:rsidTr="00C82901">
        <w:trPr>
          <w:trHeight w:val="262"/>
        </w:trPr>
        <w:tc>
          <w:tcPr>
            <w:tcW w:w="11199" w:type="dxa"/>
            <w:gridSpan w:val="3"/>
          </w:tcPr>
          <w:p w:rsidR="007B092D" w:rsidRPr="007B092D" w:rsidRDefault="007B092D" w:rsidP="007B092D">
            <w:pPr>
              <w:ind w:left="95" w:right="14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ЕНВД</w:t>
            </w:r>
          </w:p>
        </w:tc>
      </w:tr>
      <w:tr w:rsidR="007B092D" w:rsidRPr="007B092D" w:rsidTr="00C82901">
        <w:trPr>
          <w:trHeight w:val="264"/>
        </w:trPr>
        <w:tc>
          <w:tcPr>
            <w:tcW w:w="1874" w:type="dxa"/>
          </w:tcPr>
          <w:p w:rsidR="007B092D" w:rsidRPr="007B092D" w:rsidRDefault="007B092D" w:rsidP="007B092D">
            <w:pPr>
              <w:ind w:left="95" w:right="255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Отмена </w:t>
            </w:r>
            <w:proofErr w:type="spellStart"/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спецрежима</w:t>
            </w:r>
            <w:proofErr w:type="spellEnd"/>
          </w:p>
        </w:tc>
        <w:tc>
          <w:tcPr>
            <w:tcW w:w="7199" w:type="dxa"/>
          </w:tcPr>
          <w:p w:rsidR="007B092D" w:rsidRPr="007B092D" w:rsidRDefault="007B092D" w:rsidP="007B092D">
            <w:pPr>
              <w:tabs>
                <w:tab w:val="left" w:pos="5670"/>
              </w:tabs>
              <w:ind w:left="95" w:right="142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С 1 января 2021 года ЕНВД полностью отменен на всей территории РФ. Введены специальные переходные правила учета для экс-</w:t>
            </w:r>
            <w:proofErr w:type="spellStart"/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вмененщиков</w:t>
            </w:r>
            <w:proofErr w:type="spellEnd"/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2126" w:type="dxa"/>
          </w:tcPr>
          <w:p w:rsidR="007B092D" w:rsidRPr="007B092D" w:rsidRDefault="007B092D" w:rsidP="007B092D">
            <w:pPr>
              <w:ind w:left="95" w:righ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hyperlink r:id="rId31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 xml:space="preserve">П. 1, 2 ст. 4 Закона </w:t>
              </w:r>
              <w:r w:rsidRPr="007B092D">
                <w:rPr>
                  <w:rFonts w:ascii="Times New Roman" w:hAnsi="Times New Roman"/>
                  <w:color w:val="0000FF"/>
                  <w:spacing w:val="-7"/>
                  <w:sz w:val="18"/>
                  <w:szCs w:val="18"/>
                  <w:u w:val="single"/>
                  <w:lang w:val="ru-RU"/>
                </w:rPr>
                <w:t xml:space="preserve">от </w:t>
              </w:r>
              <w:r w:rsidRPr="007B092D">
                <w:rPr>
                  <w:rFonts w:ascii="Times New Roman" w:hAnsi="Times New Roman"/>
                  <w:color w:val="0000FF"/>
                  <w:spacing w:val="-112"/>
                  <w:sz w:val="18"/>
                  <w:szCs w:val="18"/>
                  <w:u w:val="single"/>
                  <w:lang w:val="ru-RU"/>
                </w:rPr>
                <w:t>2</w:t>
              </w:r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23.11.2020 №</w:t>
              </w:r>
              <w:r w:rsidRPr="007B092D">
                <w:rPr>
                  <w:rFonts w:ascii="Times New Roman" w:hAnsi="Times New Roman"/>
                  <w:color w:val="0000FF"/>
                  <w:spacing w:val="-3"/>
                  <w:sz w:val="18"/>
                  <w:szCs w:val="18"/>
                  <w:u w:val="single"/>
                  <w:lang w:val="ru-RU"/>
                </w:rPr>
                <w:t xml:space="preserve"> </w:t>
              </w:r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373-ФЗ,</w:t>
              </w:r>
            </w:hyperlink>
          </w:p>
          <w:p w:rsidR="007B092D" w:rsidRPr="007B092D" w:rsidRDefault="007B092D" w:rsidP="007B092D">
            <w:pPr>
              <w:ind w:left="95" w:right="142"/>
              <w:rPr>
                <w:rFonts w:ascii="Times New Roman" w:hAnsi="Times New Roman"/>
                <w:color w:val="1154CC"/>
                <w:spacing w:val="-112"/>
                <w:sz w:val="18"/>
                <w:szCs w:val="18"/>
                <w:u w:val="single" w:color="1154CC"/>
                <w:lang w:val="ru-RU"/>
              </w:rPr>
            </w:pPr>
            <w:r w:rsidRPr="007B092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письмо ФНС от </w:t>
            </w:r>
            <w:hyperlink r:id="rId32" w:history="1">
              <w:r w:rsidRPr="007B092D">
                <w:rPr>
                  <w:rFonts w:ascii="Times New Roman" w:hAnsi="Times New Roman"/>
                  <w:color w:val="0000FF"/>
                  <w:spacing w:val="-112"/>
                  <w:sz w:val="18"/>
                  <w:szCs w:val="18"/>
                  <w:u w:val="single" w:color="1154CC"/>
                  <w:lang w:val="ru-RU"/>
                </w:rPr>
                <w:t>2</w:t>
              </w:r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 w:color="1154CC"/>
                  <w:lang w:val="ru-RU"/>
                </w:rPr>
                <w:t>20.11.2020</w:t>
              </w:r>
              <w:r w:rsidRPr="007B092D">
                <w:rPr>
                  <w:rFonts w:ascii="Times New Roman" w:hAnsi="Times New Roman"/>
                  <w:color w:val="0000FF"/>
                  <w:spacing w:val="-1"/>
                  <w:sz w:val="18"/>
                  <w:szCs w:val="18"/>
                  <w:u w:val="single" w:color="1154CC"/>
                  <w:lang w:val="ru-RU"/>
                </w:rPr>
                <w:t xml:space="preserve"> </w:t>
              </w:r>
              <w:r w:rsidRPr="007B092D">
                <w:rPr>
                  <w:rFonts w:ascii="Times New Roman" w:hAnsi="Times New Roman"/>
                  <w:color w:val="0000FF"/>
                  <w:spacing w:val="4"/>
                  <w:sz w:val="18"/>
                  <w:szCs w:val="18"/>
                  <w:u w:val="single" w:color="1154CC"/>
                  <w:lang w:val="ru-RU"/>
                </w:rPr>
                <w:t>№</w:t>
              </w:r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 xml:space="preserve"> СД-4-3/19053</w:t>
              </w:r>
            </w:hyperlink>
            <w:r w:rsidRPr="007B092D">
              <w:rPr>
                <w:rFonts w:ascii="Times New Roman" w:hAnsi="Times New Roman"/>
                <w:color w:val="1154CC"/>
                <w:spacing w:val="-112"/>
                <w:sz w:val="18"/>
                <w:szCs w:val="18"/>
                <w:u w:val="single" w:color="1154CC"/>
                <w:lang w:val="ru-RU"/>
              </w:rPr>
              <w:t xml:space="preserve">                </w:t>
            </w:r>
            <w:proofErr w:type="gramStart"/>
            <w:r w:rsidRPr="007B092D">
              <w:rPr>
                <w:rFonts w:ascii="Times New Roman" w:hAnsi="Times New Roman"/>
                <w:color w:val="1154CC"/>
                <w:spacing w:val="-112"/>
                <w:sz w:val="18"/>
                <w:szCs w:val="18"/>
                <w:u w:val="single" w:color="1154CC"/>
                <w:lang w:val="ru-RU"/>
              </w:rPr>
              <w:t xml:space="preserve">  ,</w:t>
            </w:r>
            <w:proofErr w:type="gramEnd"/>
          </w:p>
          <w:p w:rsidR="007B092D" w:rsidRPr="007B092D" w:rsidRDefault="007B092D" w:rsidP="007B092D">
            <w:pPr>
              <w:ind w:left="95" w:right="142"/>
              <w:rPr>
                <w:rFonts w:ascii="Times New Roman" w:hAnsi="Times New Roman"/>
                <w:color w:val="1154CC"/>
                <w:spacing w:val="-112"/>
                <w:sz w:val="18"/>
                <w:szCs w:val="18"/>
                <w:u w:val="single" w:color="1154CC"/>
                <w:lang w:val="ru-RU"/>
              </w:rPr>
            </w:pPr>
            <w:r w:rsidRPr="007B092D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письмо ФНС России от </w:t>
            </w:r>
            <w:hyperlink r:id="rId33" w:history="1">
              <w:r w:rsidRPr="007B092D">
                <w:rPr>
                  <w:rFonts w:ascii="Times New Roman" w:hAnsi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ru-RU"/>
                </w:rPr>
                <w:t xml:space="preserve">24.12.2020 </w:t>
              </w:r>
              <w:r w:rsidRPr="007B092D">
                <w:rPr>
                  <w:rFonts w:ascii="Times New Roman" w:hAnsi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N</w:t>
              </w:r>
              <w:r w:rsidRPr="007B092D">
                <w:rPr>
                  <w:rFonts w:ascii="Times New Roman" w:hAnsi="Times New Roman"/>
                  <w:bCs/>
                  <w:color w:val="0000FF"/>
                  <w:sz w:val="18"/>
                  <w:szCs w:val="18"/>
                  <w:u w:val="single"/>
                  <w:shd w:val="clear" w:color="auto" w:fill="FFFFFF"/>
                  <w:lang w:val="ru-RU"/>
                </w:rPr>
                <w:t xml:space="preserve"> КВ-4-3/21255@</w:t>
              </w:r>
            </w:hyperlink>
            <w:r w:rsidRPr="007B092D">
              <w:rPr>
                <w:rFonts w:ascii="Times New Roman" w:hAnsi="Times New Roman"/>
                <w:bCs/>
                <w:color w:val="0000FF"/>
                <w:sz w:val="18"/>
                <w:szCs w:val="18"/>
                <w:u w:val="single"/>
                <w:shd w:val="clear" w:color="auto" w:fill="FFFFFF"/>
                <w:lang w:val="ru-RU"/>
              </w:rPr>
              <w:t>,</w:t>
            </w:r>
          </w:p>
          <w:p w:rsidR="007B092D" w:rsidRPr="007B092D" w:rsidRDefault="007B092D" w:rsidP="007B092D">
            <w:pPr>
              <w:ind w:left="95" w:right="142"/>
              <w:rPr>
                <w:rFonts w:ascii="Times New Roman" w:hAnsi="Times New Roman"/>
                <w:sz w:val="18"/>
                <w:szCs w:val="18"/>
                <w:lang w:val="ru-RU"/>
              </w:rPr>
            </w:pPr>
            <w:hyperlink r:id="rId34" w:history="1">
              <w:r w:rsidRPr="007B092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ru-RU"/>
                </w:rPr>
                <w:t>Сервис ФНС</w:t>
              </w:r>
            </w:hyperlink>
          </w:p>
        </w:tc>
      </w:tr>
    </w:tbl>
    <w:p w:rsidR="00063ABA" w:rsidRDefault="00063ABA">
      <w:bookmarkStart w:id="0" w:name="_GoBack"/>
      <w:bookmarkEnd w:id="0"/>
    </w:p>
    <w:sectPr w:rsidR="0006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0247"/>
    <w:multiLevelType w:val="hybridMultilevel"/>
    <w:tmpl w:val="1DF2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3C1884"/>
    <w:multiLevelType w:val="hybridMultilevel"/>
    <w:tmpl w:val="F9247E20"/>
    <w:lvl w:ilvl="0" w:tplc="0419000F">
      <w:start w:val="1"/>
      <w:numFmt w:val="decimal"/>
      <w:lvlText w:val="%1."/>
      <w:lvlJc w:val="left"/>
      <w:pPr>
        <w:ind w:left="8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  <w:rPr>
        <w:rFonts w:cs="Times New Roman"/>
      </w:rPr>
    </w:lvl>
  </w:abstractNum>
  <w:abstractNum w:abstractNumId="2" w15:restartNumberingAfterBreak="0">
    <w:nsid w:val="34740FFF"/>
    <w:multiLevelType w:val="hybridMultilevel"/>
    <w:tmpl w:val="C1A69AAA"/>
    <w:lvl w:ilvl="0" w:tplc="CC22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92AAD"/>
    <w:multiLevelType w:val="hybridMultilevel"/>
    <w:tmpl w:val="F040816A"/>
    <w:lvl w:ilvl="0" w:tplc="0419000F">
      <w:start w:val="1"/>
      <w:numFmt w:val="decimal"/>
      <w:lvlText w:val="%1."/>
      <w:lvlJc w:val="left"/>
      <w:pPr>
        <w:ind w:left="11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4" w15:restartNumberingAfterBreak="0">
    <w:nsid w:val="49A32EEA"/>
    <w:multiLevelType w:val="hybridMultilevel"/>
    <w:tmpl w:val="28860326"/>
    <w:lvl w:ilvl="0" w:tplc="CC22BE54">
      <w:start w:val="1"/>
      <w:numFmt w:val="bullet"/>
      <w:lvlText w:val="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5" w15:restartNumberingAfterBreak="0">
    <w:nsid w:val="4B7E70DE"/>
    <w:multiLevelType w:val="hybridMultilevel"/>
    <w:tmpl w:val="AA5E56D8"/>
    <w:lvl w:ilvl="0" w:tplc="CC22BE54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2D"/>
    <w:rsid w:val="00063ABA"/>
    <w:rsid w:val="0034255F"/>
    <w:rsid w:val="007B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3C0C5-5B06-4678-8FA0-77CBC64F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092D"/>
    <w:rPr>
      <w:rFonts w:cs="Times New Roman"/>
      <w:color w:val="0000FF"/>
      <w:u w:val="single"/>
    </w:rPr>
  </w:style>
  <w:style w:type="paragraph" w:customStyle="1" w:styleId="1">
    <w:name w:val="Обычный1"/>
    <w:rsid w:val="007B092D"/>
    <w:pPr>
      <w:spacing w:after="0" w:line="276" w:lineRule="auto"/>
    </w:pPr>
    <w:rPr>
      <w:rFonts w:ascii="Arial" w:eastAsia="Times New Roman" w:hAnsi="Arial" w:cs="Arial"/>
      <w:lang w:eastAsia="ru-RU"/>
    </w:rPr>
  </w:style>
  <w:style w:type="paragraph" w:styleId="a5">
    <w:name w:val="List Paragraph"/>
    <w:basedOn w:val="a"/>
    <w:uiPriority w:val="34"/>
    <w:qFormat/>
    <w:rsid w:val="007B092D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B092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092D"/>
    <w:pPr>
      <w:widowControl w:val="0"/>
      <w:autoSpaceDE w:val="0"/>
      <w:autoSpaceDN w:val="0"/>
      <w:spacing w:after="0" w:line="240" w:lineRule="auto"/>
      <w:ind w:left="95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367930&amp;dst=100004&amp;date=18.11.2020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cons/cgi/online.cgi?req=doc&amp;base=LAW&amp;n=358747&amp;dst=100054&amp;date=05.08.2020" TargetMode="External"/><Relationship Id="rId34" Type="http://schemas.openxmlformats.org/officeDocument/2006/relationships/hyperlink" Target="https://www.nalog.ru/rn37/taxation/taxes/envd2020/" TargetMode="External"/><Relationship Id="rId7" Type="http://schemas.openxmlformats.org/officeDocument/2006/relationships/hyperlink" Target="http://www.consultant.ru/cons/cgi/online.cgi?req=doc&amp;base=LAW&amp;n=358747&amp;dst=100008&amp;date=05.08.2020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://www.consultant.ru/cons/cgi/online.cgi?req=doc&amp;base=LAW&amp;n=368440&amp;dst=100109&amp;date=25.11.2020" TargetMode="External"/><Relationship Id="rId33" Type="http://schemas.openxmlformats.org/officeDocument/2006/relationships/hyperlink" Target="http://www.consultant.ru/document/cons_doc_LAW_372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www.consultant.ru/cons/cgi/online.cgi?req=doc&amp;base=LAW&amp;n=358747&amp;dst=100054&amp;date=05.08.2020" TargetMode="External"/><Relationship Id="rId29" Type="http://schemas.openxmlformats.org/officeDocument/2006/relationships/hyperlink" Target="http://www.consultant.ru/cons/cgi/online.cgi?req=doc&amp;base=LAW&amp;n=358747&amp;dst=100054&amp;date=05.08.20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358747&amp;dst=100008&amp;date=05.08.2020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www.consultant.ru/document/cons_doc_LAW_28165/dfe87d3a71d81daff6243d64c49ef41c5c3302eb/" TargetMode="External"/><Relationship Id="rId32" Type="http://schemas.openxmlformats.org/officeDocument/2006/relationships/hyperlink" Target="https://www.nalog.ru/rn37/about_fts/about_nalog/10211368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://www.consultant.ru/document/cons_doc_LAW_28165/dfe87d3a71d81daff6243d64c49ef41c5c3302eb/" TargetMode="External"/><Relationship Id="rId28" Type="http://schemas.openxmlformats.org/officeDocument/2006/relationships/hyperlink" Target="http://www.consultant.ru/document/cons_doc_LAW_28165/d64434f3895da64e749c616b0f8368962a7ad139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://www.consultant.ru/document/cons_doc_LAW_368440/ad890e68b83c920baeae9bb9fdc9b94feb1af0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regulation.gov.ru/Projects/List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://www.consultant.ru/cons/cgi/online.cgi?req=doc&amp;base=LAW&amp;n=358747&amp;dst=100054&amp;date=05.08.202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Н. Калинина</dc:creator>
  <cp:keywords/>
  <dc:description/>
  <cp:lastModifiedBy>Анна Н. Калинина</cp:lastModifiedBy>
  <cp:revision>1</cp:revision>
  <dcterms:created xsi:type="dcterms:W3CDTF">2021-05-04T14:24:00Z</dcterms:created>
  <dcterms:modified xsi:type="dcterms:W3CDTF">2021-05-04T14:31:00Z</dcterms:modified>
</cp:coreProperties>
</file>